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B7E2" w14:textId="30F3CE9B" w:rsidR="002C406F" w:rsidRDefault="00433242" w:rsidP="006873B8">
      <w:pPr>
        <w:pStyle w:val="Kop2"/>
      </w:pPr>
      <w:r>
        <w:t>Uitleg van begrippen die worden ge</w:t>
      </w:r>
      <w:r w:rsidR="006873B8">
        <w:t>bruikt bij een officiële klacht</w:t>
      </w:r>
    </w:p>
    <w:p w14:paraId="4CE81D04" w14:textId="1589BC8B" w:rsidR="006425C5" w:rsidRDefault="006425C5">
      <w:r>
        <w:t>In de klachtenregeling wordt verstaan onder:</w:t>
      </w:r>
    </w:p>
    <w:p w14:paraId="4D6C085A" w14:textId="7A085E6D" w:rsidR="006425C5" w:rsidRDefault="006425C5" w:rsidP="006425C5">
      <w:pPr>
        <w:pStyle w:val="Lijstalinea"/>
        <w:numPr>
          <w:ilvl w:val="0"/>
          <w:numId w:val="1"/>
        </w:numPr>
      </w:pPr>
      <w:r>
        <w:t>Klager: de persoon (géén bedrijf) die een klacht indient. Klager kan zijn:</w:t>
      </w:r>
    </w:p>
    <w:p w14:paraId="6C867A87" w14:textId="1AB378C8" w:rsidR="006425C5" w:rsidRDefault="006425C5" w:rsidP="006425C5">
      <w:pPr>
        <w:pStyle w:val="Lijstalinea"/>
        <w:numPr>
          <w:ilvl w:val="1"/>
          <w:numId w:val="1"/>
        </w:numPr>
      </w:pPr>
      <w:r>
        <w:t>de patiënt zelf</w:t>
      </w:r>
    </w:p>
    <w:p w14:paraId="4EB2717A" w14:textId="3F46FBA1" w:rsidR="006425C5" w:rsidRDefault="006425C5" w:rsidP="006425C5">
      <w:pPr>
        <w:pStyle w:val="Lijstalinea"/>
        <w:numPr>
          <w:ilvl w:val="1"/>
          <w:numId w:val="1"/>
        </w:numPr>
      </w:pPr>
      <w:r>
        <w:t>een vertegenwoordiger van een patiënt (bijvoorbeeld de ouders van een minderjarige patiënt maar ook een gevolmachtigde van een wilsonbekwame patiënt)</w:t>
      </w:r>
      <w:r w:rsidR="00E314E0">
        <w:rPr>
          <w:vertAlign w:val="superscript"/>
        </w:rPr>
        <w:t>*</w:t>
      </w:r>
    </w:p>
    <w:p w14:paraId="2204CED7" w14:textId="21302D27" w:rsidR="006425C5" w:rsidRDefault="006425C5" w:rsidP="006425C5">
      <w:pPr>
        <w:pStyle w:val="Lijstalinea"/>
        <w:numPr>
          <w:ilvl w:val="1"/>
          <w:numId w:val="1"/>
        </w:numPr>
      </w:pPr>
      <w:r>
        <w:t>nabestaande(n) van een overleden patiënt</w:t>
      </w:r>
      <w:r w:rsidR="00E314E0">
        <w:rPr>
          <w:vertAlign w:val="superscript"/>
        </w:rPr>
        <w:t>*</w:t>
      </w:r>
    </w:p>
    <w:p w14:paraId="46BBA0A2" w14:textId="2332562F" w:rsidR="006425C5" w:rsidRDefault="006425C5" w:rsidP="006425C5">
      <w:pPr>
        <w:pStyle w:val="Lijstalinea"/>
        <w:numPr>
          <w:ilvl w:val="0"/>
          <w:numId w:val="1"/>
        </w:numPr>
      </w:pPr>
      <w:r>
        <w:t>klacht: een klacht kan zijn:</w:t>
      </w:r>
    </w:p>
    <w:p w14:paraId="59D8389B" w14:textId="187F7D06" w:rsidR="006425C5" w:rsidRDefault="006425C5" w:rsidP="006425C5">
      <w:pPr>
        <w:pStyle w:val="Lijstalinea"/>
        <w:numPr>
          <w:ilvl w:val="1"/>
          <w:numId w:val="1"/>
        </w:numPr>
      </w:pPr>
      <w:r>
        <w:t>een uiting van ongenoegen (ontevredenheid) over gedrag in de zorgverlenersrelatie zoals bijvoorbeeld het handelen of juist niet handelen van de zorgverlener naar de  patiënt OF te maken hebben met de organisatorische kant ervan.</w:t>
      </w:r>
    </w:p>
    <w:p w14:paraId="41464DA5" w14:textId="1B5C546B" w:rsidR="00433242" w:rsidRDefault="006425C5" w:rsidP="00433242">
      <w:pPr>
        <w:pStyle w:val="Lijstalinea"/>
        <w:numPr>
          <w:ilvl w:val="1"/>
          <w:numId w:val="1"/>
        </w:numPr>
      </w:pPr>
      <w:r>
        <w:t>Een uiting van ongenoegen (ontevredenheid) over het weigeren van een zorgaanbieder om een persoon in het kader van de zorgverlening als vertegenwoordiger van ene patiënt te beschouwen.</w:t>
      </w:r>
    </w:p>
    <w:p w14:paraId="68F6EE50" w14:textId="77777777" w:rsidR="00433242" w:rsidRDefault="00433242" w:rsidP="00433242">
      <w:pPr>
        <w:pStyle w:val="Lijstalinea"/>
        <w:numPr>
          <w:ilvl w:val="0"/>
          <w:numId w:val="1"/>
        </w:numPr>
      </w:pPr>
      <w:r>
        <w:t>Termijnen:</w:t>
      </w:r>
    </w:p>
    <w:p w14:paraId="5CAEF9B9" w14:textId="77777777" w:rsidR="00433242" w:rsidRDefault="00433242" w:rsidP="00433242">
      <w:pPr>
        <w:pStyle w:val="Lijstalinea"/>
        <w:numPr>
          <w:ilvl w:val="1"/>
          <w:numId w:val="1"/>
        </w:numPr>
      </w:pPr>
      <w:r>
        <w:t>Een klacht moet binnen één jaar nadat de klager bekend is/ bekend had kunnen zijn dat het gedrag van de zorgaanbieder een klacht zou kunnen opleveren te worden ingediend. Als de klacht later wordt ingediend moet schriftelijk worden uitgelegd waarom de klacht pas na één jaar wordt toegediend.</w:t>
      </w:r>
    </w:p>
    <w:p w14:paraId="6762EB9B" w14:textId="10364947" w:rsidR="00433242" w:rsidRDefault="00433242" w:rsidP="00433242">
      <w:pPr>
        <w:pStyle w:val="Lijstalinea"/>
        <w:numPr>
          <w:ilvl w:val="1"/>
          <w:numId w:val="1"/>
        </w:numPr>
      </w:pPr>
      <w:r>
        <w:t>De wet zegt dat een (officiële) klacht schriftelijk ingediend dient te worden. Dit is nodig om te bepalen wat de start is van de afhandeltermijn. Het oordeel moet namelijk binnen 6 weken door de zorgaanbieder gegeven worden. Deze termijn kan door de zorgaanbieder met  4 weken worden verlengd. Als het niet mogelijk blijkt te zijn om binnen de genoemde termijn van in totaal 10 weken tot een oplossing te komen, kan de termijn door de zorgaanbieder met zoveel langer als nodig worden verlengd als de klager hier schriftelijk toestemming voor heeft gegeven.</w:t>
      </w:r>
    </w:p>
    <w:p w14:paraId="0253CDAA" w14:textId="2189607C" w:rsidR="006425C5" w:rsidRDefault="006425C5" w:rsidP="006425C5">
      <w:pPr>
        <w:pStyle w:val="Lijstalinea"/>
        <w:numPr>
          <w:ilvl w:val="0"/>
          <w:numId w:val="1"/>
        </w:numPr>
      </w:pPr>
      <w:r>
        <w:t>Ontvankelijkheid:</w:t>
      </w:r>
    </w:p>
    <w:p w14:paraId="7B6EBF67" w14:textId="78608831" w:rsidR="006425C5" w:rsidRDefault="006425C5" w:rsidP="006425C5">
      <w:pPr>
        <w:pStyle w:val="Lijstalinea"/>
        <w:numPr>
          <w:ilvl w:val="1"/>
          <w:numId w:val="1"/>
        </w:numPr>
      </w:pPr>
      <w:r>
        <w:t>De klager zal niet ontvankelijk worden verklaard in zijn/ haar klacht indien:</w:t>
      </w:r>
    </w:p>
    <w:p w14:paraId="37F5A9A0" w14:textId="23B18AFA" w:rsidR="006425C5" w:rsidRDefault="006425C5" w:rsidP="006425C5">
      <w:pPr>
        <w:pStyle w:val="Lijstalinea"/>
        <w:numPr>
          <w:ilvl w:val="2"/>
          <w:numId w:val="1"/>
        </w:numPr>
      </w:pPr>
      <w:r>
        <w:t>Een klacht te maken heeft met ander ongenoegen dan zoals hierboven beschreven.</w:t>
      </w:r>
    </w:p>
    <w:p w14:paraId="0294BA95" w14:textId="1EB7388D" w:rsidR="006425C5" w:rsidRDefault="006425C5" w:rsidP="006425C5">
      <w:pPr>
        <w:pStyle w:val="Lijstalinea"/>
        <w:numPr>
          <w:ilvl w:val="2"/>
          <w:numId w:val="1"/>
        </w:numPr>
      </w:pPr>
      <w:r>
        <w:t>Een klacht wordt ingediend door een andere persoon dan de kring van personen zoals hierboven beschreven bij klager.</w:t>
      </w:r>
    </w:p>
    <w:p w14:paraId="276731D4" w14:textId="6E5AD94A" w:rsidR="006425C5" w:rsidRDefault="006425C5" w:rsidP="006425C5">
      <w:pPr>
        <w:pStyle w:val="Lijstalinea"/>
        <w:numPr>
          <w:ilvl w:val="1"/>
          <w:numId w:val="1"/>
        </w:numPr>
      </w:pPr>
      <w:r>
        <w:t>Als de klager niet ontvankelijk is in zijn/ haar klacht zult u dit schriftelijk te horen krijgen als reactie op uw klacht.</w:t>
      </w:r>
    </w:p>
    <w:p w14:paraId="22E6AF36" w14:textId="2D4D3EA3" w:rsidR="006425C5" w:rsidRDefault="006425C5" w:rsidP="006425C5">
      <w:pPr>
        <w:pStyle w:val="Lijstalinea"/>
        <w:numPr>
          <w:ilvl w:val="1"/>
          <w:numId w:val="1"/>
        </w:numPr>
      </w:pPr>
      <w:r>
        <w:t>Als de klacht over iemand anders dan de zorgaanbieder gaat, zal de zorgaanbieder er voor zorgen dat de behandeling van de klacht wordt overgedragen aan degene waar de klacht over gaat, behalve als de klager daar geen toestemming voor heeft gegeven.</w:t>
      </w:r>
    </w:p>
    <w:p w14:paraId="2BFAAAFA" w14:textId="7F15B809" w:rsidR="00E314E0" w:rsidRPr="00E314E0" w:rsidRDefault="00E314E0" w:rsidP="00E314E0">
      <w:pPr>
        <w:cnfStyle w:val="001000100000" w:firstRow="0" w:lastRow="0" w:firstColumn="1" w:lastColumn="0" w:oddVBand="0" w:evenVBand="0" w:oddHBand="1" w:evenHBand="0" w:firstRowFirstColumn="0" w:firstRowLastColumn="0" w:lastRowFirstColumn="0" w:lastRowLastColumn="0"/>
        <w:rPr>
          <w:b/>
          <w:bCs/>
          <w:color w:val="000000" w:themeColor="text1"/>
          <w:sz w:val="24"/>
          <w:szCs w:val="24"/>
        </w:rPr>
      </w:pPr>
      <w:r w:rsidRPr="00E314E0">
        <w:rPr>
          <w:vertAlign w:val="superscript"/>
        </w:rPr>
        <w:t xml:space="preserve">* </w:t>
      </w:r>
      <w:r w:rsidRPr="00E314E0">
        <w:rPr>
          <w:color w:val="000000" w:themeColor="text1"/>
          <w:sz w:val="20"/>
          <w:szCs w:val="20"/>
        </w:rPr>
        <w:t xml:space="preserve">er </w:t>
      </w:r>
      <w:r w:rsidRPr="00E314E0">
        <w:rPr>
          <w:color w:val="000000" w:themeColor="text1"/>
          <w:sz w:val="20"/>
          <w:szCs w:val="20"/>
        </w:rPr>
        <w:t xml:space="preserve">kan </w:t>
      </w:r>
      <w:r w:rsidRPr="00E314E0">
        <w:rPr>
          <w:color w:val="000000" w:themeColor="text1"/>
          <w:sz w:val="20"/>
          <w:szCs w:val="20"/>
        </w:rPr>
        <w:t>gevraagd worden om bewijs waaruit blijkt da</w:t>
      </w:r>
      <w:r w:rsidRPr="00E314E0">
        <w:rPr>
          <w:color w:val="000000" w:themeColor="text1"/>
          <w:sz w:val="20"/>
          <w:szCs w:val="20"/>
        </w:rPr>
        <w:t>t de klager</w:t>
      </w:r>
      <w:r w:rsidRPr="00E314E0">
        <w:rPr>
          <w:color w:val="000000" w:themeColor="text1"/>
          <w:sz w:val="20"/>
          <w:szCs w:val="20"/>
        </w:rPr>
        <w:t xml:space="preserve"> als vertegenwoordiger van de patiënt optreedt.</w:t>
      </w:r>
    </w:p>
    <w:p w14:paraId="64DB1C40" w14:textId="4A7E1475" w:rsidR="00E314E0" w:rsidRPr="00E314E0" w:rsidRDefault="00E314E0" w:rsidP="00E314E0">
      <w:pPr>
        <w:rPr>
          <w:vertAlign w:val="superscript"/>
        </w:rPr>
      </w:pPr>
    </w:p>
    <w:p w14:paraId="6DF6FB88" w14:textId="072B7F59" w:rsidR="006873B8" w:rsidRDefault="006873B8" w:rsidP="006873B8">
      <w:r>
        <w:t xml:space="preserve">Bron: </w:t>
      </w:r>
      <w:hyperlink r:id="rId5" w:history="1">
        <w:r w:rsidRPr="006873B8">
          <w:rPr>
            <w:rStyle w:val="Hyperlink"/>
          </w:rPr>
          <w:t>modelklachtenregeling: ineen, LHV, NHG september 2020</w:t>
        </w:r>
      </w:hyperlink>
      <w:r>
        <w:t>.</w:t>
      </w:r>
    </w:p>
    <w:sectPr w:rsidR="00687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gnika">
    <w:altName w:val="Calibri"/>
    <w:charset w:val="00"/>
    <w:family w:val="auto"/>
    <w:pitch w:val="variable"/>
    <w:sig w:usb0="A00000EF" w:usb1="40000043"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6D6"/>
    <w:multiLevelType w:val="hybridMultilevel"/>
    <w:tmpl w:val="4CE43418"/>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211848BC"/>
    <w:multiLevelType w:val="hybridMultilevel"/>
    <w:tmpl w:val="D9425892"/>
    <w:lvl w:ilvl="0" w:tplc="C20485D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BA25F2"/>
    <w:multiLevelType w:val="hybridMultilevel"/>
    <w:tmpl w:val="BF5CB2F2"/>
    <w:lvl w:ilvl="0" w:tplc="FAB0EFFC">
      <w:start w:val="1"/>
      <w:numFmt w:val="bullet"/>
      <w:lvlText w:val="-"/>
      <w:lvlJc w:val="left"/>
      <w:pPr>
        <w:ind w:left="720" w:hanging="360"/>
      </w:pPr>
      <w:rPr>
        <w:rFonts w:ascii="Signika" w:eastAsia="SimSun" w:hAnsi="Signik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0140188">
    <w:abstractNumId w:val="1"/>
  </w:num>
  <w:num w:numId="2" w16cid:durableId="1480420222">
    <w:abstractNumId w:val="0"/>
  </w:num>
  <w:num w:numId="3" w16cid:durableId="18278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C5"/>
    <w:rsid w:val="00207236"/>
    <w:rsid w:val="002C406F"/>
    <w:rsid w:val="00433242"/>
    <w:rsid w:val="006425C5"/>
    <w:rsid w:val="006873B8"/>
    <w:rsid w:val="00743F4A"/>
    <w:rsid w:val="007452F2"/>
    <w:rsid w:val="00860546"/>
    <w:rsid w:val="00C8690C"/>
    <w:rsid w:val="00E314E0"/>
    <w:rsid w:val="00E87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6EC4"/>
  <w15:chartTrackingRefBased/>
  <w15:docId w15:val="{FC2BE127-420A-48B4-807F-DA11BF77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2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42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25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25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25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2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2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2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2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25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425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25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25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25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2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2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2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25C5"/>
    <w:rPr>
      <w:rFonts w:eastAsiaTheme="majorEastAsia" w:cstheme="majorBidi"/>
      <w:color w:val="272727" w:themeColor="text1" w:themeTint="D8"/>
    </w:rPr>
  </w:style>
  <w:style w:type="paragraph" w:styleId="Titel">
    <w:name w:val="Title"/>
    <w:basedOn w:val="Standaard"/>
    <w:next w:val="Standaard"/>
    <w:link w:val="TitelChar"/>
    <w:uiPriority w:val="10"/>
    <w:qFormat/>
    <w:rsid w:val="00642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2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2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2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2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25C5"/>
    <w:rPr>
      <w:i/>
      <w:iCs/>
      <w:color w:val="404040" w:themeColor="text1" w:themeTint="BF"/>
    </w:rPr>
  </w:style>
  <w:style w:type="paragraph" w:styleId="Lijstalinea">
    <w:name w:val="List Paragraph"/>
    <w:basedOn w:val="Standaard"/>
    <w:uiPriority w:val="34"/>
    <w:qFormat/>
    <w:rsid w:val="006425C5"/>
    <w:pPr>
      <w:ind w:left="720"/>
      <w:contextualSpacing/>
    </w:pPr>
  </w:style>
  <w:style w:type="character" w:styleId="Intensievebenadrukking">
    <w:name w:val="Intense Emphasis"/>
    <w:basedOn w:val="Standaardalinea-lettertype"/>
    <w:uiPriority w:val="21"/>
    <w:qFormat/>
    <w:rsid w:val="006425C5"/>
    <w:rPr>
      <w:i/>
      <w:iCs/>
      <w:color w:val="2F5496" w:themeColor="accent1" w:themeShade="BF"/>
    </w:rPr>
  </w:style>
  <w:style w:type="paragraph" w:styleId="Duidelijkcitaat">
    <w:name w:val="Intense Quote"/>
    <w:basedOn w:val="Standaard"/>
    <w:next w:val="Standaard"/>
    <w:link w:val="DuidelijkcitaatChar"/>
    <w:uiPriority w:val="30"/>
    <w:qFormat/>
    <w:rsid w:val="00642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25C5"/>
    <w:rPr>
      <w:i/>
      <w:iCs/>
      <w:color w:val="2F5496" w:themeColor="accent1" w:themeShade="BF"/>
    </w:rPr>
  </w:style>
  <w:style w:type="character" w:styleId="Intensieveverwijzing">
    <w:name w:val="Intense Reference"/>
    <w:basedOn w:val="Standaardalinea-lettertype"/>
    <w:uiPriority w:val="32"/>
    <w:qFormat/>
    <w:rsid w:val="006425C5"/>
    <w:rPr>
      <w:b/>
      <w:bCs/>
      <w:smallCaps/>
      <w:color w:val="2F5496" w:themeColor="accent1" w:themeShade="BF"/>
      <w:spacing w:val="5"/>
    </w:rPr>
  </w:style>
  <w:style w:type="character" w:styleId="Hyperlink">
    <w:name w:val="Hyperlink"/>
    <w:basedOn w:val="Standaardalinea-lettertype"/>
    <w:uiPriority w:val="99"/>
    <w:unhideWhenUsed/>
    <w:rsid w:val="006873B8"/>
    <w:rPr>
      <w:color w:val="0563C1" w:themeColor="hyperlink"/>
      <w:u w:val="single"/>
    </w:rPr>
  </w:style>
  <w:style w:type="character" w:styleId="Onopgelostemelding">
    <w:name w:val="Unresolved Mention"/>
    <w:basedOn w:val="Standaardalinea-lettertype"/>
    <w:uiPriority w:val="99"/>
    <w:semiHidden/>
    <w:unhideWhenUsed/>
    <w:rsid w:val="0068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hv.nl/product/model-klachtenregeling/"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400</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2025-05-27T13:51:00Z</dcterms:created>
  <dcterms:modified xsi:type="dcterms:W3CDTF">2025-05-27T15:29:00Z</dcterms:modified>
</cp:coreProperties>
</file>